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81" w:rsidRPr="00812ACD" w:rsidRDefault="007430DD" w:rsidP="00901681">
      <w:pPr>
        <w:pStyle w:val="RecNo"/>
      </w:pPr>
      <w:r w:rsidRPr="00812ACD">
        <w:t xml:space="preserve">Notes </w:t>
      </w:r>
      <w:r w:rsidR="00901681" w:rsidRPr="00812ACD">
        <w:t xml:space="preserve">Q28/16 e-meeting </w:t>
      </w:r>
      <w:r w:rsidRPr="00812ACD">
        <w:t>#1</w:t>
      </w:r>
    </w:p>
    <w:p w:rsidR="006E034D" w:rsidRPr="00812ACD" w:rsidRDefault="006E034D" w:rsidP="006E034D">
      <w:pPr>
        <w:rPr>
          <w:rFonts w:cs="Calibri"/>
        </w:rPr>
      </w:pPr>
      <w:r w:rsidRPr="00812ACD">
        <w:rPr>
          <w:rFonts w:cs="Calibri"/>
          <w:b/>
          <w:bCs/>
        </w:rPr>
        <w:t>Date and time:</w:t>
      </w:r>
      <w:r w:rsidRPr="00812ACD">
        <w:rPr>
          <w:rFonts w:cs="Calibri"/>
        </w:rPr>
        <w:t xml:space="preserve"> 2013-08-29, 1400-1500 hours</w:t>
      </w:r>
    </w:p>
    <w:p w:rsidR="00901681" w:rsidRPr="00812ACD" w:rsidRDefault="00901681" w:rsidP="00901681"/>
    <w:p w:rsidR="00901681" w:rsidRPr="00812ACD" w:rsidRDefault="00901681" w:rsidP="00901681">
      <w:pPr>
        <w:pStyle w:val="Heading1"/>
      </w:pPr>
      <w:r w:rsidRPr="00812ACD">
        <w:t>Participants</w:t>
      </w:r>
    </w:p>
    <w:p w:rsidR="00901681" w:rsidRPr="00812ACD" w:rsidRDefault="00901681" w:rsidP="006E034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 xml:space="preserve">Markus </w:t>
      </w:r>
      <w:proofErr w:type="spellStart"/>
      <w:r w:rsidRPr="00812ACD">
        <w:t>Gorzynski</w:t>
      </w:r>
      <w:proofErr w:type="spellEnd"/>
      <w:r w:rsidRPr="00812ACD">
        <w:t>, HP, USA (left early)</w:t>
      </w:r>
    </w:p>
    <w:p w:rsidR="00901681" w:rsidRPr="00812ACD" w:rsidRDefault="00901681" w:rsidP="006E034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Masahito Kawamori, NTT, Japan</w:t>
      </w:r>
    </w:p>
    <w:p w:rsidR="00901681" w:rsidRPr="00812ACD" w:rsidRDefault="00901681" w:rsidP="006E034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 xml:space="preserve">Michael </w:t>
      </w:r>
      <w:proofErr w:type="spellStart"/>
      <w:r w:rsidRPr="00812ACD">
        <w:t>Kirwan</w:t>
      </w:r>
      <w:proofErr w:type="spellEnd"/>
      <w:r w:rsidRPr="00812ACD">
        <w:t>, Continua Health Alliance</w:t>
      </w:r>
    </w:p>
    <w:p w:rsidR="00901681" w:rsidRPr="00812ACD" w:rsidRDefault="00901681" w:rsidP="006E034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Reehan Sheikh, Platform Health, UK</w:t>
      </w:r>
    </w:p>
    <w:p w:rsidR="00901681" w:rsidRPr="00812ACD" w:rsidRDefault="00901681" w:rsidP="006E034D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Simão Campos, ITU</w:t>
      </w:r>
    </w:p>
    <w:p w:rsidR="00901681" w:rsidRPr="00812ACD" w:rsidRDefault="00901681" w:rsidP="00901681">
      <w:pPr>
        <w:pStyle w:val="Heading1"/>
      </w:pPr>
      <w:r w:rsidRPr="00812ACD">
        <w:t>Opening</w:t>
      </w:r>
    </w:p>
    <w:p w:rsidR="003D34DE" w:rsidRPr="00812ACD" w:rsidRDefault="003D34DE" w:rsidP="003D34DE">
      <w:pPr>
        <w:rPr>
          <w:rFonts w:cs="Calibri"/>
        </w:rPr>
      </w:pPr>
      <w:r w:rsidRPr="00812ACD">
        <w:rPr>
          <w:b/>
          <w:bCs/>
        </w:rPr>
        <w:t>Objective:</w:t>
      </w:r>
      <w:r w:rsidRPr="00812ACD">
        <w:t xml:space="preserve"> </w:t>
      </w:r>
      <w:r w:rsidRPr="00812ACD">
        <w:rPr>
          <w:rFonts w:cs="Calibri"/>
        </w:rPr>
        <w:t>discuss restructuring of H.MEDX and expedite its editing process</w:t>
      </w:r>
    </w:p>
    <w:p w:rsidR="00901681" w:rsidRPr="006E034D" w:rsidRDefault="003D34DE" w:rsidP="006E034D">
      <w:r w:rsidRPr="006E034D">
        <w:rPr>
          <w:b/>
          <w:bCs/>
        </w:rPr>
        <w:t>Basis:</w:t>
      </w:r>
      <w:r w:rsidRPr="006E034D">
        <w:t xml:space="preserve"> agreement at Q28/16 meeting during IPTV-GSI in Geneva, 8-12 July 2013</w:t>
      </w:r>
      <w:r w:rsidR="006E034D" w:rsidRPr="006E034D">
        <w:t>; H.MEDX draft from SG16 in January 2013 (</w:t>
      </w:r>
      <w:hyperlink r:id="rId6" w:history="1">
        <w:r w:rsidR="006E034D" w:rsidRPr="00EC7C31">
          <w:rPr>
            <w:rStyle w:val="Hyperlink"/>
          </w:rPr>
          <w:t>TD 70/WP2</w:t>
        </w:r>
      </w:hyperlink>
      <w:r w:rsidR="006E034D" w:rsidRPr="006E034D">
        <w:t xml:space="preserve">; work programme: </w:t>
      </w:r>
      <w:hyperlink r:id="rId7" w:history="1">
        <w:r w:rsidR="006E034D" w:rsidRPr="006E034D">
          <w:rPr>
            <w:rStyle w:val="Hyperlink"/>
          </w:rPr>
          <w:t>http://itu.int/itu-t/workprog/</w:t>
        </w:r>
        <w:r w:rsidR="006E034D">
          <w:rPr>
            <w:rStyle w:val="Hyperlink"/>
          </w:rPr>
          <w:t>‌</w:t>
        </w:r>
        <w:r w:rsidR="006E034D" w:rsidRPr="006E034D">
          <w:rPr>
            <w:rStyle w:val="Hyperlink"/>
          </w:rPr>
          <w:t>wp_item.aspx?‌isn=9637</w:t>
        </w:r>
      </w:hyperlink>
      <w:r w:rsidR="006E034D" w:rsidRPr="006E034D">
        <w:t>).</w:t>
      </w:r>
    </w:p>
    <w:p w:rsidR="008531BB" w:rsidRPr="00812ACD" w:rsidRDefault="008531BB" w:rsidP="003D34DE">
      <w:pPr>
        <w:pStyle w:val="Heading1"/>
      </w:pPr>
      <w:r w:rsidRPr="00812ACD">
        <w:t>Documents</w:t>
      </w:r>
    </w:p>
    <w:p w:rsidR="00475CEF" w:rsidRPr="00812ACD" w:rsidRDefault="00812ACD" w:rsidP="00812ACD">
      <w:r>
        <w:t xml:space="preserve">The document store for this series of e-meetings is located at: </w:t>
      </w:r>
      <w:hyperlink r:id="rId8" w:history="1">
        <w:r w:rsidRPr="00EC7C31">
          <w:rPr>
            <w:rStyle w:val="Hyperlink"/>
          </w:rPr>
          <w:t>http://ifa.itu.int/t/2013/sg16/‌exchange/wp2/q28/emtg-1301-1310/</w:t>
        </w:r>
      </w:hyperlink>
      <w:r>
        <w:t xml:space="preserve">. </w:t>
      </w:r>
      <w:r w:rsidR="007430DD" w:rsidRPr="00812ACD">
        <w:t>One document was reviewed:</w:t>
      </w:r>
    </w:p>
    <w:p w:rsidR="007430DD" w:rsidRPr="00812ACD" w:rsidRDefault="003B28B5" w:rsidP="007430DD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9" w:history="1">
        <w:r w:rsidR="007430DD" w:rsidRPr="00812ACD">
          <w:rPr>
            <w:rStyle w:val="Hyperlink"/>
          </w:rPr>
          <w:t>130829_01_ITU_H.MEDX_UPDATE_v3.docx</w:t>
        </w:r>
      </w:hyperlink>
      <w:r w:rsidR="00812ACD" w:rsidRPr="00812ACD">
        <w:t xml:space="preserve"> [Platform Health]</w:t>
      </w:r>
    </w:p>
    <w:p w:rsidR="00475CEF" w:rsidRPr="00812ACD" w:rsidRDefault="00475CEF" w:rsidP="003D34DE">
      <w:pPr>
        <w:pStyle w:val="Heading1"/>
      </w:pPr>
      <w:r w:rsidRPr="00812ACD">
        <w:t>Discussion</w:t>
      </w:r>
      <w:r w:rsidR="00812ACD" w:rsidRPr="00812ACD">
        <w:t>s</w:t>
      </w:r>
    </w:p>
    <w:p w:rsidR="008531BB" w:rsidRPr="00812ACD" w:rsidRDefault="008531BB" w:rsidP="00AF3A8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Overview of document</w:t>
      </w:r>
    </w:p>
    <w:p w:rsidR="008531BB" w:rsidRPr="00812ACD" w:rsidRDefault="008531BB" w:rsidP="00AF3A8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Reasons for restructuring</w:t>
      </w:r>
    </w:p>
    <w:p w:rsidR="008531BB" w:rsidRPr="00812ACD" w:rsidRDefault="008531BB" w:rsidP="00AF3A8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Clause 6 will clarify the differences between existing standards and the scope of H.MEDX.</w:t>
      </w:r>
    </w:p>
    <w:p w:rsidR="008531BB" w:rsidRPr="00812ACD" w:rsidRDefault="00475CEF" w:rsidP="00AF3A8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Clause 7 will illustrate use cases for H.MEDX</w:t>
      </w:r>
    </w:p>
    <w:p w:rsidR="008531BB" w:rsidRPr="00812ACD" w:rsidRDefault="00475CEF" w:rsidP="00AF3A8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Clause 8</w:t>
      </w:r>
      <w:r w:rsidR="008531BB" w:rsidRPr="00812ACD">
        <w:t xml:space="preserve"> </w:t>
      </w:r>
      <w:r w:rsidRPr="00812ACD">
        <w:t>updated</w:t>
      </w:r>
      <w:r w:rsidR="00410E33" w:rsidRPr="00812ACD">
        <w:t xml:space="preserve"> description of the architecture.</w:t>
      </w:r>
    </w:p>
    <w:p w:rsidR="00410E33" w:rsidRPr="00812ACD" w:rsidRDefault="00410E33" w:rsidP="00AF3A8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Clause 9</w:t>
      </w:r>
      <w:r w:rsidR="00882C1C" w:rsidRPr="00812ACD">
        <w:t>, 10, 11, 12</w:t>
      </w:r>
    </w:p>
    <w:p w:rsidR="00882C1C" w:rsidRPr="00812ACD" w:rsidRDefault="00882C1C" w:rsidP="00AF3A8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Annex A had a substantial amount of modification; with a more detailed description of the various elements for the universal health schema.</w:t>
      </w:r>
    </w:p>
    <w:p w:rsidR="00882C1C" w:rsidRPr="00812ACD" w:rsidRDefault="00882C1C" w:rsidP="00AF3A8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Annex B specify the optionality of each type of health transaction.</w:t>
      </w:r>
    </w:p>
    <w:p w:rsidR="00882C1C" w:rsidRPr="00812ACD" w:rsidRDefault="00882C1C" w:rsidP="00AF3A8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 xml:space="preserve">Annex C has Health Transactions XML, would like to have an XML description for each type of transaction. </w:t>
      </w:r>
    </w:p>
    <w:p w:rsidR="00812ACD" w:rsidRPr="00812ACD" w:rsidRDefault="00812ACD" w:rsidP="00AF3A88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>Observations:</w:t>
      </w:r>
    </w:p>
    <w:p w:rsidR="00AF3A88" w:rsidRPr="00AF3A88" w:rsidRDefault="00AF3A88" w:rsidP="00AF3A8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134" w:hanging="567"/>
        <w:textAlignment w:val="baseline"/>
      </w:pPr>
      <w:r w:rsidRPr="00AF3A88">
        <w:t>Reehan would like to include example of Continua devices in the use cases / clause 8.2.</w:t>
      </w:r>
    </w:p>
    <w:p w:rsidR="00882C1C" w:rsidRPr="00812ACD" w:rsidRDefault="00871A41" w:rsidP="00AF3A8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134" w:hanging="567"/>
        <w:textAlignment w:val="baseline"/>
      </w:pPr>
      <w:r w:rsidRPr="00812ACD">
        <w:t>Estimate: 60-70% of the text is ready</w:t>
      </w:r>
    </w:p>
    <w:p w:rsidR="00871A41" w:rsidRPr="00812ACD" w:rsidRDefault="00812ACD" w:rsidP="00AF3A8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134" w:hanging="567"/>
        <w:textAlignment w:val="baseline"/>
      </w:pPr>
      <w:r w:rsidRPr="00812ACD">
        <w:t xml:space="preserve">It was noted that in January 2013 </w:t>
      </w:r>
      <w:r w:rsidR="00AF3A88">
        <w:t>it</w:t>
      </w:r>
      <w:r w:rsidRPr="00812ACD">
        <w:t xml:space="preserve"> was agreed not to call "</w:t>
      </w:r>
      <w:r w:rsidR="00871A41" w:rsidRPr="00812ACD">
        <w:t>universal</w:t>
      </w:r>
      <w:r w:rsidRPr="00812ACD">
        <w:t>"</w:t>
      </w:r>
      <w:r w:rsidR="00871A41" w:rsidRPr="00812ACD">
        <w:t xml:space="preserve"> </w:t>
      </w:r>
      <w:r w:rsidRPr="00812ACD">
        <w:t xml:space="preserve">the </w:t>
      </w:r>
      <w:r w:rsidR="00871A41" w:rsidRPr="00812ACD">
        <w:t>health schema</w:t>
      </w:r>
      <w:r w:rsidRPr="00812ACD">
        <w:t>,</w:t>
      </w:r>
      <w:r w:rsidR="00B3610E" w:rsidRPr="00812ACD">
        <w:t xml:space="preserve"> "common"</w:t>
      </w:r>
      <w:r w:rsidRPr="00812ACD">
        <w:t xml:space="preserve"> was suggested</w:t>
      </w:r>
      <w:r w:rsidR="00B3610E" w:rsidRPr="00812ACD">
        <w:t>.</w:t>
      </w:r>
      <w:r w:rsidRPr="00812ACD">
        <w:t xml:space="preserve"> Agreed.</w:t>
      </w:r>
    </w:p>
    <w:p w:rsidR="00812ACD" w:rsidRPr="00812ACD" w:rsidRDefault="00812ACD" w:rsidP="00AF3A8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134" w:hanging="567"/>
        <w:textAlignment w:val="baseline"/>
      </w:pPr>
      <w:r w:rsidRPr="00812ACD">
        <w:t>Delete</w:t>
      </w:r>
      <w:r w:rsidR="00B3610E" w:rsidRPr="00812ACD">
        <w:t xml:space="preserve"> </w:t>
      </w:r>
      <w:r w:rsidRPr="00812ACD">
        <w:rPr>
          <w:i/>
          <w:iCs/>
        </w:rPr>
        <w:t>Open</w:t>
      </w:r>
      <w:r w:rsidRPr="00812ACD">
        <w:t xml:space="preserve"> from the </w:t>
      </w:r>
      <w:r w:rsidR="00B3610E" w:rsidRPr="00812ACD">
        <w:t>title</w:t>
      </w:r>
      <w:r w:rsidRPr="00812ACD">
        <w:t>,</w:t>
      </w:r>
      <w:r w:rsidR="00B3610E" w:rsidRPr="00812ACD">
        <w:t xml:space="preserve"> as agreed in January.</w:t>
      </w:r>
      <w:r w:rsidRPr="00812ACD">
        <w:t xml:space="preserve"> </w:t>
      </w:r>
    </w:p>
    <w:p w:rsidR="00812ACD" w:rsidRPr="00812ACD" w:rsidRDefault="00812ACD" w:rsidP="00AF3A8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1134" w:hanging="567"/>
        <w:textAlignment w:val="baseline"/>
      </w:pPr>
      <w:r w:rsidRPr="00812ACD">
        <w:lastRenderedPageBreak/>
        <w:t xml:space="preserve">With these changes, is the title still correct? No, it is more centred on data aspects, rather than architecture, etc. </w:t>
      </w:r>
    </w:p>
    <w:p w:rsidR="006E034D" w:rsidRPr="00812ACD" w:rsidRDefault="006E034D" w:rsidP="006E034D">
      <w:pPr>
        <w:pStyle w:val="Heading1"/>
      </w:pPr>
      <w:r w:rsidRPr="00812ACD">
        <w:t>Editorship</w:t>
      </w:r>
    </w:p>
    <w:p w:rsidR="006E034D" w:rsidRPr="00812ACD" w:rsidRDefault="006E034D" w:rsidP="006E034D">
      <w:r w:rsidRPr="00812ACD">
        <w:t xml:space="preserve">Reehan </w:t>
      </w:r>
      <w:r>
        <w:t>Sheik (Platform Health) was confi</w:t>
      </w:r>
      <w:r w:rsidRPr="00812ACD">
        <w:t>rmed as the main contact for editing H.MEDX.</w:t>
      </w:r>
    </w:p>
    <w:p w:rsidR="000C4BCD" w:rsidRDefault="000C4BCD" w:rsidP="000C4BCD">
      <w:pPr>
        <w:pStyle w:val="Heading1"/>
      </w:pPr>
      <w:r>
        <w:t>Follow-up</w:t>
      </w:r>
    </w:p>
    <w:p w:rsidR="00812ACD" w:rsidRPr="00812ACD" w:rsidRDefault="00812ACD" w:rsidP="003B28B5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 xml:space="preserve">Title to be </w:t>
      </w:r>
      <w:r w:rsidR="003B28B5">
        <w:t xml:space="preserve">changed: </w:t>
      </w:r>
      <w:r w:rsidRPr="00812ACD">
        <w:t xml:space="preserve">"Multimedia e-health data exchange services: data </w:t>
      </w:r>
      <w:r w:rsidR="00C278B2" w:rsidRPr="004C3B9F">
        <w:t>schema</w:t>
      </w:r>
      <w:r w:rsidRPr="004C3B9F">
        <w:t xml:space="preserve"> </w:t>
      </w:r>
      <w:r w:rsidRPr="00812ACD">
        <w:t>and supporting services"</w:t>
      </w:r>
    </w:p>
    <w:p w:rsidR="00871A41" w:rsidRPr="00812ACD" w:rsidRDefault="00812ACD" w:rsidP="006E034D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Need to </w:t>
      </w:r>
      <w:r w:rsidRPr="00812ACD">
        <w:t>cross</w:t>
      </w:r>
      <w:r w:rsidR="00B3610E" w:rsidRPr="00812ACD">
        <w:t>-check references to HL7 if any</w:t>
      </w:r>
      <w:r w:rsidR="007F1D74">
        <w:t>, as well as other SDOs</w:t>
      </w:r>
      <w:r w:rsidR="00B3610E" w:rsidRPr="00812ACD">
        <w:t>. Section 6 will include relationship with other Recommendations.</w:t>
      </w:r>
    </w:p>
    <w:p w:rsidR="00812ACD" w:rsidRPr="00812ACD" w:rsidRDefault="00812ACD" w:rsidP="006E034D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12ACD">
        <w:t xml:space="preserve">Text between square brackets </w:t>
      </w:r>
      <w:r>
        <w:t xml:space="preserve">(titles in tables, etc.) </w:t>
      </w:r>
      <w:r w:rsidRPr="00812ACD">
        <w:t>needs to be resolved</w:t>
      </w:r>
      <w:r>
        <w:t>.</w:t>
      </w:r>
    </w:p>
    <w:p w:rsidR="00B3610E" w:rsidRDefault="007F1D74" w:rsidP="006E034D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Various clauses need to be fleshed out. Michael </w:t>
      </w:r>
      <w:proofErr w:type="spellStart"/>
      <w:r>
        <w:t>Kirwan</w:t>
      </w:r>
      <w:proofErr w:type="spellEnd"/>
      <w:r>
        <w:t xml:space="preserve"> </w:t>
      </w:r>
      <w:r w:rsidR="0092320F">
        <w:t xml:space="preserve">(CHA) </w:t>
      </w:r>
      <w:r>
        <w:t xml:space="preserve">volunteered to help </w:t>
      </w:r>
      <w:r w:rsidR="006E034D">
        <w:t>Reehan Sheik with the text for clause 6 in particular.</w:t>
      </w:r>
    </w:p>
    <w:p w:rsidR="006E034D" w:rsidRDefault="006E034D" w:rsidP="006E034D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Updated draft available for next e-meeting.</w:t>
      </w:r>
    </w:p>
    <w:p w:rsidR="003D34DE" w:rsidRPr="00812ACD" w:rsidRDefault="003D34DE" w:rsidP="007430DD">
      <w:pPr>
        <w:pStyle w:val="Heading1"/>
      </w:pPr>
      <w:r w:rsidRPr="00812ACD">
        <w:t>Next e-meeting</w:t>
      </w:r>
    </w:p>
    <w:p w:rsidR="003D34DE" w:rsidRPr="00812ACD" w:rsidRDefault="003D34DE" w:rsidP="00475CEF">
      <w:pPr>
        <w:tabs>
          <w:tab w:val="left" w:pos="2198"/>
        </w:tabs>
        <w:rPr>
          <w:rFonts w:cs="Calibri"/>
        </w:rPr>
      </w:pPr>
      <w:r w:rsidRPr="00812ACD">
        <w:t xml:space="preserve">As agreed before, the </w:t>
      </w:r>
      <w:r w:rsidRPr="003B28B5">
        <w:rPr>
          <w:b/>
          <w:bCs/>
        </w:rPr>
        <w:t>next session</w:t>
      </w:r>
      <w:r w:rsidRPr="00812ACD">
        <w:t xml:space="preserve"> is planned on </w:t>
      </w:r>
      <w:r w:rsidRPr="00812ACD">
        <w:rPr>
          <w:rFonts w:cs="Calibri"/>
        </w:rPr>
        <w:t>2013-09-26, 1400-1600 hours (Geneva time).</w:t>
      </w:r>
      <w:r w:rsidR="007430DD" w:rsidRPr="00812ACD">
        <w:rPr>
          <w:rFonts w:cs="Calibri"/>
        </w:rPr>
        <w:t xml:space="preserve"> </w:t>
      </w:r>
    </w:p>
    <w:p w:rsidR="007430DD" w:rsidRDefault="007430DD" w:rsidP="007430DD">
      <w:pPr>
        <w:tabs>
          <w:tab w:val="left" w:pos="2198"/>
        </w:tabs>
        <w:rPr>
          <w:rFonts w:cs="Calibri"/>
        </w:rPr>
      </w:pPr>
      <w:r w:rsidRPr="00812ACD">
        <w:rPr>
          <w:rFonts w:cs="Calibri"/>
        </w:rPr>
        <w:t xml:space="preserve">An </w:t>
      </w:r>
      <w:r w:rsidRPr="003B28B5">
        <w:rPr>
          <w:rFonts w:cs="Calibri"/>
          <w:b/>
          <w:bCs/>
        </w:rPr>
        <w:t>updated version of the draft</w:t>
      </w:r>
      <w:r w:rsidRPr="00812ACD">
        <w:rPr>
          <w:rFonts w:cs="Calibri"/>
        </w:rPr>
        <w:t xml:space="preserve"> will be circulated by e-mail before the deadline (2013-09-19) with the changes agreed, improvements to existing text and addition of text still missing.</w:t>
      </w:r>
    </w:p>
    <w:p w:rsidR="003B28B5" w:rsidRPr="00812ACD" w:rsidRDefault="003B28B5" w:rsidP="003B28B5">
      <w:pPr>
        <w:tabs>
          <w:tab w:val="left" w:pos="2198"/>
        </w:tabs>
        <w:rPr>
          <w:rFonts w:cs="Calibri"/>
        </w:rPr>
      </w:pPr>
      <w:r>
        <w:rPr>
          <w:rFonts w:cs="Calibri"/>
        </w:rPr>
        <w:t xml:space="preserve">NB – An updated draft with TSB edits after the e-meeting was added to the IFA at </w:t>
      </w:r>
      <w:hyperlink r:id="rId10" w:history="1">
        <w:r w:rsidRPr="007A64BA">
          <w:rPr>
            <w:rStyle w:val="Hyperlink"/>
            <w:rFonts w:cs="Calibri"/>
          </w:rPr>
          <w:t>http://ifa.itu.int/t/2013/sg16/exchange/wp2/q28/emtg-1301-1310/</w:t>
        </w:r>
      </w:hyperlink>
      <w:r>
        <w:rPr>
          <w:rFonts w:cs="Calibri"/>
        </w:rPr>
        <w:t>.</w:t>
      </w:r>
      <w:bookmarkStart w:id="0" w:name="_GoBack"/>
      <w:bookmarkEnd w:id="0"/>
    </w:p>
    <w:p w:rsidR="007430DD" w:rsidRPr="00812ACD" w:rsidRDefault="007430DD" w:rsidP="007430DD">
      <w:pPr>
        <w:pStyle w:val="Heading1"/>
      </w:pPr>
      <w:r w:rsidRPr="00812ACD">
        <w:t>Closing</w:t>
      </w:r>
    </w:p>
    <w:p w:rsidR="007430DD" w:rsidRPr="00812ACD" w:rsidRDefault="007430DD" w:rsidP="00475CEF">
      <w:pPr>
        <w:tabs>
          <w:tab w:val="left" w:pos="2198"/>
        </w:tabs>
      </w:pPr>
      <w:r w:rsidRPr="00812ACD">
        <w:t>The e-meeting closed at approximately 1500 hours.</w:t>
      </w:r>
    </w:p>
    <w:p w:rsidR="007430DD" w:rsidRPr="00812ACD" w:rsidRDefault="007430DD" w:rsidP="007430DD">
      <w:pPr>
        <w:tabs>
          <w:tab w:val="left" w:pos="2198"/>
        </w:tabs>
        <w:jc w:val="center"/>
      </w:pPr>
      <w:r w:rsidRPr="00812ACD">
        <w:t>_____________________</w:t>
      </w:r>
    </w:p>
    <w:sectPr w:rsidR="007430DD" w:rsidRPr="00812ACD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81F92"/>
    <w:multiLevelType w:val="hybridMultilevel"/>
    <w:tmpl w:val="C2DE6E00"/>
    <w:lvl w:ilvl="0" w:tplc="CEDA075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20063319"/>
    <w:multiLevelType w:val="hybridMultilevel"/>
    <w:tmpl w:val="FD8EDFA0"/>
    <w:lvl w:ilvl="0" w:tplc="CEDA075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2D5C5898"/>
    <w:multiLevelType w:val="hybridMultilevel"/>
    <w:tmpl w:val="0040D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646C"/>
    <w:multiLevelType w:val="hybridMultilevel"/>
    <w:tmpl w:val="7BFE4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B1C0B"/>
    <w:multiLevelType w:val="hybridMultilevel"/>
    <w:tmpl w:val="233E5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962D4"/>
    <w:multiLevelType w:val="hybridMultilevel"/>
    <w:tmpl w:val="4DCE6B3C"/>
    <w:lvl w:ilvl="0" w:tplc="CEDA075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63B613B8"/>
    <w:multiLevelType w:val="hybridMultilevel"/>
    <w:tmpl w:val="614E61FC"/>
    <w:lvl w:ilvl="0" w:tplc="CEDA075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7CB65D9"/>
    <w:multiLevelType w:val="hybridMultilevel"/>
    <w:tmpl w:val="F746C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9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B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6D82"/>
    <w:rsid w:val="00097D70"/>
    <w:rsid w:val="000A1971"/>
    <w:rsid w:val="000A31CB"/>
    <w:rsid w:val="000B286A"/>
    <w:rsid w:val="000B594B"/>
    <w:rsid w:val="000B748C"/>
    <w:rsid w:val="000C1868"/>
    <w:rsid w:val="000C4BCD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D28"/>
    <w:rsid w:val="003B28B5"/>
    <w:rsid w:val="003B2A40"/>
    <w:rsid w:val="003B53B3"/>
    <w:rsid w:val="003D0967"/>
    <w:rsid w:val="003D2C2B"/>
    <w:rsid w:val="003D34DE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10D5A"/>
    <w:rsid w:val="00410E33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53D9"/>
    <w:rsid w:val="00475CEF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3B9F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66B9"/>
    <w:rsid w:val="00517C7D"/>
    <w:rsid w:val="00522154"/>
    <w:rsid w:val="00524AF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5F9B"/>
    <w:rsid w:val="005771A3"/>
    <w:rsid w:val="0057782F"/>
    <w:rsid w:val="005815CC"/>
    <w:rsid w:val="00583141"/>
    <w:rsid w:val="0058633E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034D"/>
    <w:rsid w:val="006E1652"/>
    <w:rsid w:val="006E3E05"/>
    <w:rsid w:val="006E550A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30DD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1D74"/>
    <w:rsid w:val="007F5562"/>
    <w:rsid w:val="008062A5"/>
    <w:rsid w:val="00807B28"/>
    <w:rsid w:val="00811118"/>
    <w:rsid w:val="00812ACD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31BB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1A41"/>
    <w:rsid w:val="00877486"/>
    <w:rsid w:val="008800C6"/>
    <w:rsid w:val="00882C1C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1681"/>
    <w:rsid w:val="0090354F"/>
    <w:rsid w:val="00906CD8"/>
    <w:rsid w:val="009142BB"/>
    <w:rsid w:val="009168AF"/>
    <w:rsid w:val="009177BB"/>
    <w:rsid w:val="00920E41"/>
    <w:rsid w:val="00921601"/>
    <w:rsid w:val="0092320F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3A88"/>
    <w:rsid w:val="00AF4B26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913"/>
    <w:rsid w:val="00B33DFA"/>
    <w:rsid w:val="00B3610E"/>
    <w:rsid w:val="00B451A9"/>
    <w:rsid w:val="00B4669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8B2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A0B6A"/>
    <w:rsid w:val="00CA0E12"/>
    <w:rsid w:val="00CA1EC3"/>
    <w:rsid w:val="00CA318C"/>
    <w:rsid w:val="00CA577E"/>
    <w:rsid w:val="00CA6505"/>
    <w:rsid w:val="00CA7227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104F7"/>
    <w:rsid w:val="00F127BF"/>
    <w:rsid w:val="00F13B70"/>
    <w:rsid w:val="00F150E2"/>
    <w:rsid w:val="00F154A1"/>
    <w:rsid w:val="00F208FE"/>
    <w:rsid w:val="00F226EE"/>
    <w:rsid w:val="00F303CD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BB46A0"/>
    <w:rPr>
      <w:color w:val="0000FF"/>
      <w:u w:val="single"/>
    </w:rPr>
  </w:style>
  <w:style w:type="paragraph" w:customStyle="1" w:styleId="LSDeadline">
    <w:name w:val="LSDeadlin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For">
    <w:name w:val="LSFor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Source">
    <w:name w:val="LSSourc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itle">
    <w:name w:val="LSTitl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o">
    <w:name w:val="LSTo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rsid w:val="00B1096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B1096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10963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B29FD"/>
    <w:rPr>
      <w:rFonts w:eastAsia="Times New Roman"/>
      <w:sz w:val="18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A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BB46A0"/>
    <w:rPr>
      <w:color w:val="0000FF"/>
      <w:u w:val="single"/>
    </w:rPr>
  </w:style>
  <w:style w:type="paragraph" w:customStyle="1" w:styleId="LSDeadline">
    <w:name w:val="LSDeadlin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For">
    <w:name w:val="LSFor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Source">
    <w:name w:val="LSSourc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itle">
    <w:name w:val="LSTitl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o">
    <w:name w:val="LSTo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rsid w:val="00B1096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B1096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10963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B29FD"/>
    <w:rPr>
      <w:rFonts w:eastAsia="Times New Roman"/>
      <w:sz w:val="18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A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a.itu.int/t/2013/sg16/exchange/wp2/q28/emtg-1301-13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tu.int/itu-t/workprog/wp_item.aspx?isn=96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r\campos\1310-SG16\Work-in-progress\H.MEDX\TD%2070\WP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fa.itu.int/t/2013/sg16/exchange/wp2/q28/emtg-1301-13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fa.itu.int/t/2013/sg16/exchange/wp2/q28/emtg-1301-1310/130829_01_ITU_H.MEDX_UPDATE_v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Simão Campos-Neto</dc:creator>
  <cp:lastModifiedBy>Simão Campos-Neto</cp:lastModifiedBy>
  <cp:revision>3</cp:revision>
  <cp:lastPrinted>2011-04-05T15:28:00Z</cp:lastPrinted>
  <dcterms:created xsi:type="dcterms:W3CDTF">2013-09-02T06:32:00Z</dcterms:created>
  <dcterms:modified xsi:type="dcterms:W3CDTF">2013-09-02T06:35:00Z</dcterms:modified>
</cp:coreProperties>
</file>